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5DD" w:rsidRPr="009272FF" w:rsidRDefault="00635996" w:rsidP="00EA0716">
      <w:pPr>
        <w:pStyle w:val="Heading1"/>
        <w:rPr>
          <w:rFonts w:ascii="Arial" w:hAnsi="Arial" w:cs="Arial"/>
          <w:lang w:val="en-US"/>
        </w:rPr>
      </w:pPr>
      <w:bookmarkStart w:id="0" w:name="_GoBack"/>
      <w:bookmarkEnd w:id="0"/>
      <w:r w:rsidRPr="009272FF">
        <w:rPr>
          <w:rFonts w:ascii="Arial" w:hAnsi="Arial" w:cs="Arial"/>
          <w:lang w:val="en-US"/>
        </w:rPr>
        <w:t xml:space="preserve">TEMPLATE </w:t>
      </w:r>
    </w:p>
    <w:p w:rsidR="00635996" w:rsidRPr="009272FF" w:rsidRDefault="00635996" w:rsidP="00EA0716">
      <w:pPr>
        <w:pStyle w:val="Heading1"/>
        <w:rPr>
          <w:rFonts w:ascii="Arial" w:hAnsi="Arial" w:cs="Arial"/>
          <w:lang w:val="en-US"/>
        </w:rPr>
      </w:pPr>
      <w:r w:rsidRPr="009272FF">
        <w:rPr>
          <w:rFonts w:ascii="Arial" w:hAnsi="Arial" w:cs="Arial"/>
          <w:lang w:val="en-US"/>
        </w:rPr>
        <w:t>Record of conflict of interest</w:t>
      </w:r>
      <w:r w:rsidR="00EA0716" w:rsidRPr="009272FF">
        <w:rPr>
          <w:rFonts w:ascii="Arial" w:hAnsi="Arial" w:cs="Arial"/>
          <w:lang w:val="en-US"/>
        </w:rPr>
        <w:t>s</w:t>
      </w:r>
      <w:r w:rsidRPr="009272FF">
        <w:rPr>
          <w:rFonts w:ascii="Arial" w:hAnsi="Arial" w:cs="Arial"/>
          <w:lang w:val="en-US"/>
        </w:rPr>
        <w:t xml:space="preserve"> </w:t>
      </w:r>
    </w:p>
    <w:p w:rsidR="00635996" w:rsidRPr="009272FF" w:rsidRDefault="00EA0716" w:rsidP="00635996">
      <w:pPr>
        <w:rPr>
          <w:rFonts w:ascii="Arial" w:hAnsi="Arial" w:cs="Arial"/>
          <w:i/>
          <w:lang w:val="en-US"/>
        </w:rPr>
      </w:pPr>
      <w:r w:rsidRPr="009272FF">
        <w:rPr>
          <w:rFonts w:ascii="Arial" w:hAnsi="Arial" w:cs="Arial"/>
          <w:i/>
          <w:lang w:val="en-US"/>
        </w:rPr>
        <w:t>Use for every declared conflict of interests – actual or perceived</w:t>
      </w:r>
    </w:p>
    <w:tbl>
      <w:tblPr>
        <w:tblStyle w:val="TableGrid"/>
        <w:tblW w:w="0" w:type="auto"/>
        <w:tblLook w:val="04A0" w:firstRow="1" w:lastRow="0" w:firstColumn="1" w:lastColumn="0" w:noHBand="0" w:noVBand="1"/>
      </w:tblPr>
      <w:tblGrid>
        <w:gridCol w:w="2689"/>
        <w:gridCol w:w="11259"/>
      </w:tblGrid>
      <w:tr w:rsidR="00D82C6E" w:rsidRPr="00D82C6E" w:rsidTr="00803162">
        <w:trPr>
          <w:trHeight w:val="680"/>
        </w:trPr>
        <w:tc>
          <w:tcPr>
            <w:tcW w:w="2689" w:type="dxa"/>
          </w:tcPr>
          <w:p w:rsidR="00EA0716" w:rsidRPr="00803162" w:rsidRDefault="00EA0716" w:rsidP="00635996">
            <w:pPr>
              <w:rPr>
                <w:rStyle w:val="IntenseEmphasis"/>
                <w:rFonts w:ascii="Arial" w:hAnsi="Arial" w:cs="Arial"/>
                <w:i w:val="0"/>
                <w:color w:val="000000" w:themeColor="text1"/>
              </w:rPr>
            </w:pPr>
            <w:r w:rsidRPr="00803162">
              <w:rPr>
                <w:rStyle w:val="IntenseEmphasis"/>
                <w:rFonts w:ascii="Arial" w:hAnsi="Arial" w:cs="Arial"/>
                <w:i w:val="0"/>
                <w:color w:val="000000" w:themeColor="text1"/>
              </w:rPr>
              <w:t xml:space="preserve">Date of Disclosure: </w:t>
            </w:r>
          </w:p>
        </w:tc>
        <w:tc>
          <w:tcPr>
            <w:tcW w:w="11259" w:type="dxa"/>
          </w:tcPr>
          <w:p w:rsidR="00EA0716" w:rsidRPr="00D82C6E" w:rsidRDefault="00EA0716" w:rsidP="00635996">
            <w:pPr>
              <w:rPr>
                <w:rFonts w:ascii="Arial" w:hAnsi="Arial" w:cs="Arial"/>
                <w:i/>
                <w:lang w:val="en-US"/>
              </w:rPr>
            </w:pPr>
            <w:r w:rsidRPr="00D82C6E">
              <w:rPr>
                <w:rFonts w:ascii="Arial" w:hAnsi="Arial" w:cs="Arial"/>
                <w:i/>
                <w:lang w:val="en-US"/>
              </w:rPr>
              <w:t>1 July 2023</w:t>
            </w:r>
          </w:p>
        </w:tc>
      </w:tr>
      <w:tr w:rsidR="00D82C6E" w:rsidRPr="00D82C6E" w:rsidTr="00803162">
        <w:trPr>
          <w:trHeight w:val="680"/>
        </w:trPr>
        <w:tc>
          <w:tcPr>
            <w:tcW w:w="2689" w:type="dxa"/>
          </w:tcPr>
          <w:p w:rsidR="00EA0716" w:rsidRPr="00803162" w:rsidRDefault="00EA0716" w:rsidP="00635996">
            <w:pPr>
              <w:rPr>
                <w:rStyle w:val="IntenseEmphasis"/>
                <w:rFonts w:ascii="Arial" w:hAnsi="Arial" w:cs="Arial"/>
                <w:i w:val="0"/>
                <w:color w:val="000000" w:themeColor="text1"/>
              </w:rPr>
            </w:pPr>
            <w:r w:rsidRPr="00803162">
              <w:rPr>
                <w:rStyle w:val="IntenseEmphasis"/>
                <w:rFonts w:ascii="Arial" w:hAnsi="Arial" w:cs="Arial"/>
                <w:i w:val="0"/>
                <w:color w:val="000000" w:themeColor="text1"/>
              </w:rPr>
              <w:t xml:space="preserve">Name of individual: </w:t>
            </w:r>
          </w:p>
        </w:tc>
        <w:tc>
          <w:tcPr>
            <w:tcW w:w="11259" w:type="dxa"/>
          </w:tcPr>
          <w:p w:rsidR="00EA0716" w:rsidRPr="00D82C6E" w:rsidRDefault="00E71711" w:rsidP="00635996">
            <w:pPr>
              <w:rPr>
                <w:rFonts w:ascii="Arial" w:hAnsi="Arial" w:cs="Arial"/>
                <w:i/>
                <w:lang w:val="en-US"/>
              </w:rPr>
            </w:pPr>
            <w:r w:rsidRPr="00D82C6E">
              <w:rPr>
                <w:rFonts w:ascii="Arial" w:hAnsi="Arial" w:cs="Arial"/>
                <w:i/>
                <w:lang w:val="en-US"/>
              </w:rPr>
              <w:t xml:space="preserve">H Granger </w:t>
            </w:r>
          </w:p>
        </w:tc>
      </w:tr>
      <w:tr w:rsidR="00D82C6E" w:rsidRPr="00D82C6E" w:rsidTr="00803162">
        <w:trPr>
          <w:trHeight w:val="680"/>
        </w:trPr>
        <w:tc>
          <w:tcPr>
            <w:tcW w:w="2689" w:type="dxa"/>
          </w:tcPr>
          <w:p w:rsidR="00EA0716" w:rsidRPr="00803162" w:rsidRDefault="00EA0716" w:rsidP="00EA0716">
            <w:pPr>
              <w:rPr>
                <w:rStyle w:val="IntenseEmphasis"/>
                <w:rFonts w:ascii="Arial" w:hAnsi="Arial" w:cs="Arial"/>
                <w:i w:val="0"/>
                <w:color w:val="000000" w:themeColor="text1"/>
              </w:rPr>
            </w:pPr>
            <w:r w:rsidRPr="00803162">
              <w:rPr>
                <w:rStyle w:val="IntenseEmphasis"/>
                <w:rFonts w:ascii="Arial" w:hAnsi="Arial" w:cs="Arial"/>
                <w:i w:val="0"/>
                <w:color w:val="000000" w:themeColor="text1"/>
              </w:rPr>
              <w:t xml:space="preserve">Description of the nature of the conflict: </w:t>
            </w:r>
          </w:p>
        </w:tc>
        <w:tc>
          <w:tcPr>
            <w:tcW w:w="11259" w:type="dxa"/>
          </w:tcPr>
          <w:p w:rsidR="00EA0716" w:rsidRPr="00D82C6E" w:rsidRDefault="00A805DD" w:rsidP="00D24416">
            <w:pPr>
              <w:rPr>
                <w:rFonts w:ascii="Arial" w:hAnsi="Arial" w:cs="Arial"/>
                <w:i/>
                <w:lang w:val="en-US"/>
              </w:rPr>
            </w:pPr>
            <w:r w:rsidRPr="00D82C6E">
              <w:rPr>
                <w:rFonts w:ascii="Arial" w:hAnsi="Arial" w:cs="Arial"/>
                <w:i/>
                <w:lang w:val="en-US"/>
              </w:rPr>
              <w:t xml:space="preserve">Potential perceived conflict due to </w:t>
            </w:r>
            <w:r w:rsidR="00D24416" w:rsidRPr="00D82C6E">
              <w:rPr>
                <w:rFonts w:ascii="Arial" w:hAnsi="Arial" w:cs="Arial"/>
                <w:i/>
                <w:lang w:val="en-US"/>
              </w:rPr>
              <w:t xml:space="preserve">a </w:t>
            </w:r>
            <w:r w:rsidRPr="00D82C6E">
              <w:rPr>
                <w:rFonts w:ascii="Arial" w:hAnsi="Arial" w:cs="Arial"/>
                <w:i/>
                <w:lang w:val="en-US"/>
              </w:rPr>
              <w:t>f</w:t>
            </w:r>
            <w:r w:rsidR="00EA0716" w:rsidRPr="00D82C6E">
              <w:rPr>
                <w:rFonts w:ascii="Arial" w:hAnsi="Arial" w:cs="Arial"/>
                <w:i/>
                <w:lang w:val="en-US"/>
              </w:rPr>
              <w:t xml:space="preserve">amily connection </w:t>
            </w:r>
            <w:r w:rsidR="00D24416" w:rsidRPr="00D82C6E">
              <w:rPr>
                <w:rFonts w:ascii="Arial" w:hAnsi="Arial" w:cs="Arial"/>
                <w:i/>
                <w:lang w:val="en-US"/>
              </w:rPr>
              <w:t xml:space="preserve">working for one of the </w:t>
            </w:r>
            <w:r w:rsidR="00EA0716" w:rsidRPr="00D82C6E">
              <w:rPr>
                <w:rFonts w:ascii="Arial" w:hAnsi="Arial" w:cs="Arial"/>
                <w:i/>
                <w:lang w:val="en-US"/>
              </w:rPr>
              <w:t>tenderer</w:t>
            </w:r>
            <w:r w:rsidR="00D24416" w:rsidRPr="00D82C6E">
              <w:rPr>
                <w:rFonts w:ascii="Arial" w:hAnsi="Arial" w:cs="Arial"/>
                <w:i/>
                <w:lang w:val="en-US"/>
              </w:rPr>
              <w:t xml:space="preserve">s on the </w:t>
            </w:r>
            <w:r w:rsidR="00EA0716" w:rsidRPr="00D82C6E">
              <w:rPr>
                <w:rFonts w:ascii="Arial" w:hAnsi="Arial" w:cs="Arial"/>
                <w:i/>
                <w:lang w:val="en-US"/>
              </w:rPr>
              <w:t>telecommunications contract</w:t>
            </w:r>
          </w:p>
        </w:tc>
      </w:tr>
      <w:tr w:rsidR="00D82C6E" w:rsidRPr="00D82C6E" w:rsidTr="00803162">
        <w:trPr>
          <w:trHeight w:val="680"/>
        </w:trPr>
        <w:tc>
          <w:tcPr>
            <w:tcW w:w="2689" w:type="dxa"/>
          </w:tcPr>
          <w:p w:rsidR="00EA0716" w:rsidRPr="00803162" w:rsidRDefault="00EA0716" w:rsidP="00635996">
            <w:pPr>
              <w:rPr>
                <w:rStyle w:val="IntenseEmphasis"/>
                <w:rFonts w:ascii="Arial" w:hAnsi="Arial" w:cs="Arial"/>
                <w:i w:val="0"/>
                <w:color w:val="000000" w:themeColor="text1"/>
              </w:rPr>
            </w:pPr>
            <w:r w:rsidRPr="00803162">
              <w:rPr>
                <w:rStyle w:val="IntenseEmphasis"/>
                <w:rFonts w:ascii="Arial" w:hAnsi="Arial" w:cs="Arial"/>
                <w:i w:val="0"/>
                <w:color w:val="000000" w:themeColor="text1"/>
              </w:rPr>
              <w:t>Approved by the board?</w:t>
            </w:r>
          </w:p>
        </w:tc>
        <w:tc>
          <w:tcPr>
            <w:tcW w:w="11259" w:type="dxa"/>
          </w:tcPr>
          <w:p w:rsidR="00EA0716" w:rsidRPr="00D82C6E" w:rsidRDefault="00E30DFC" w:rsidP="00E30DFC">
            <w:pPr>
              <w:rPr>
                <w:rFonts w:ascii="Arial" w:hAnsi="Arial" w:cs="Arial"/>
                <w:i/>
                <w:lang w:val="en-US"/>
              </w:rPr>
            </w:pPr>
            <w:r w:rsidRPr="00D82C6E">
              <w:rPr>
                <w:rFonts w:ascii="Arial" w:hAnsi="Arial" w:cs="Arial"/>
                <w:i/>
                <w:lang w:val="en-US"/>
              </w:rPr>
              <w:t xml:space="preserve">Resolution passed at board meeting dated </w:t>
            </w:r>
            <w:r w:rsidR="00E71711" w:rsidRPr="00D82C6E">
              <w:rPr>
                <w:rFonts w:ascii="Arial" w:hAnsi="Arial" w:cs="Arial"/>
                <w:i/>
                <w:lang w:val="en-US"/>
              </w:rPr>
              <w:t xml:space="preserve">  </w:t>
            </w:r>
            <w:r w:rsidRPr="00D82C6E">
              <w:rPr>
                <w:rFonts w:ascii="Arial" w:hAnsi="Arial" w:cs="Arial"/>
                <w:i/>
                <w:lang w:val="en-US"/>
              </w:rPr>
              <w:t>[</w:t>
            </w:r>
            <w:r w:rsidR="00E71711" w:rsidRPr="00D82C6E">
              <w:rPr>
                <w:rFonts w:ascii="Arial" w:hAnsi="Arial" w:cs="Arial"/>
                <w:i/>
                <w:lang w:val="en-US"/>
              </w:rPr>
              <w:t xml:space="preserve">  </w:t>
            </w:r>
            <w:r w:rsidRPr="00D82C6E">
              <w:rPr>
                <w:rFonts w:ascii="Arial" w:hAnsi="Arial" w:cs="Arial"/>
                <w:i/>
                <w:lang w:val="en-US"/>
              </w:rPr>
              <w:t xml:space="preserve">     ] </w:t>
            </w:r>
          </w:p>
        </w:tc>
      </w:tr>
      <w:tr w:rsidR="00D82C6E" w:rsidRPr="00D82C6E" w:rsidTr="00803162">
        <w:trPr>
          <w:trHeight w:val="680"/>
        </w:trPr>
        <w:tc>
          <w:tcPr>
            <w:tcW w:w="2689" w:type="dxa"/>
          </w:tcPr>
          <w:p w:rsidR="00EA0716" w:rsidRPr="00803162" w:rsidRDefault="00EA0716" w:rsidP="00635996">
            <w:pPr>
              <w:rPr>
                <w:rStyle w:val="IntenseEmphasis"/>
                <w:rFonts w:ascii="Arial" w:hAnsi="Arial" w:cs="Arial"/>
                <w:i w:val="0"/>
                <w:color w:val="000000" w:themeColor="text1"/>
              </w:rPr>
            </w:pPr>
            <w:r w:rsidRPr="00803162">
              <w:rPr>
                <w:rStyle w:val="IntenseEmphasis"/>
                <w:rFonts w:ascii="Arial" w:hAnsi="Arial" w:cs="Arial"/>
                <w:i w:val="0"/>
                <w:color w:val="000000" w:themeColor="text1"/>
              </w:rPr>
              <w:t>Outline of the discussion between the individual and the board about managing the conflict</w:t>
            </w:r>
          </w:p>
        </w:tc>
        <w:tc>
          <w:tcPr>
            <w:tcW w:w="11259" w:type="dxa"/>
          </w:tcPr>
          <w:p w:rsidR="00A805DD" w:rsidRPr="00D82C6E" w:rsidRDefault="00A805DD" w:rsidP="00635996">
            <w:pPr>
              <w:rPr>
                <w:rFonts w:ascii="Arial" w:hAnsi="Arial" w:cs="Arial"/>
                <w:i/>
                <w:lang w:val="en-US"/>
              </w:rPr>
            </w:pPr>
            <w:r w:rsidRPr="00D82C6E">
              <w:rPr>
                <w:rFonts w:ascii="Arial" w:hAnsi="Arial" w:cs="Arial"/>
                <w:i/>
                <w:lang w:val="en-US"/>
              </w:rPr>
              <w:t xml:space="preserve">The board discussed the conflict at its board meeting on </w:t>
            </w:r>
            <w:r w:rsidR="00D24416" w:rsidRPr="00D82C6E">
              <w:rPr>
                <w:rFonts w:ascii="Arial" w:hAnsi="Arial" w:cs="Arial"/>
                <w:i/>
                <w:lang w:val="en-US"/>
              </w:rPr>
              <w:t xml:space="preserve">1 July 2023 </w:t>
            </w:r>
            <w:r w:rsidRPr="00D82C6E">
              <w:rPr>
                <w:rFonts w:ascii="Arial" w:hAnsi="Arial" w:cs="Arial"/>
                <w:i/>
                <w:lang w:val="en-US"/>
              </w:rPr>
              <w:t xml:space="preserve">and agreed that it was best for the director to recuse </w:t>
            </w:r>
            <w:r w:rsidR="00E30DFC" w:rsidRPr="00D82C6E">
              <w:rPr>
                <w:rFonts w:ascii="Arial" w:hAnsi="Arial" w:cs="Arial"/>
                <w:i/>
                <w:lang w:val="en-US"/>
              </w:rPr>
              <w:t xml:space="preserve">herself </w:t>
            </w:r>
            <w:r w:rsidRPr="00D82C6E">
              <w:rPr>
                <w:rFonts w:ascii="Arial" w:hAnsi="Arial" w:cs="Arial"/>
                <w:i/>
                <w:lang w:val="en-US"/>
              </w:rPr>
              <w:t xml:space="preserve">from any discussions and decisions about the telecommunications contract. The board noted the </w:t>
            </w:r>
            <w:r w:rsidR="00D24416" w:rsidRPr="00D82C6E">
              <w:rPr>
                <w:rFonts w:ascii="Arial" w:hAnsi="Arial" w:cs="Arial"/>
                <w:i/>
                <w:lang w:val="en-US"/>
              </w:rPr>
              <w:t xml:space="preserve">other </w:t>
            </w:r>
            <w:r w:rsidRPr="00D82C6E">
              <w:rPr>
                <w:rFonts w:ascii="Arial" w:hAnsi="Arial" w:cs="Arial"/>
                <w:i/>
                <w:lang w:val="en-US"/>
              </w:rPr>
              <w:t>tenderers were likely to be aware of the family connection and while there was unlikely to be an actual conflict due to the family member not being associated with the project</w:t>
            </w:r>
            <w:r w:rsidR="00E71711" w:rsidRPr="00D82C6E">
              <w:rPr>
                <w:rFonts w:ascii="Arial" w:hAnsi="Arial" w:cs="Arial"/>
                <w:i/>
                <w:lang w:val="en-US"/>
              </w:rPr>
              <w:t>,</w:t>
            </w:r>
            <w:r w:rsidRPr="00D82C6E">
              <w:rPr>
                <w:rFonts w:ascii="Arial" w:hAnsi="Arial" w:cs="Arial"/>
                <w:i/>
                <w:lang w:val="en-US"/>
              </w:rPr>
              <w:t xml:space="preserve"> it was agreed the conflict had to be proactively managed. The director agreed that any board papers relating to the issue will be placed in a separate confidential section of the board pack which the director will not have access to</w:t>
            </w:r>
            <w:r w:rsidR="00D24416" w:rsidRPr="00D82C6E">
              <w:rPr>
                <w:rFonts w:ascii="Arial" w:hAnsi="Arial" w:cs="Arial"/>
                <w:i/>
                <w:lang w:val="en-US"/>
              </w:rPr>
              <w:t xml:space="preserve"> during the tender process</w:t>
            </w:r>
            <w:r w:rsidRPr="00D82C6E">
              <w:rPr>
                <w:rFonts w:ascii="Arial" w:hAnsi="Arial" w:cs="Arial"/>
                <w:i/>
                <w:lang w:val="en-US"/>
              </w:rPr>
              <w:t xml:space="preserve">. </w:t>
            </w:r>
          </w:p>
          <w:p w:rsidR="00EA0716" w:rsidRPr="00D82C6E" w:rsidRDefault="00A805DD" w:rsidP="00635996">
            <w:pPr>
              <w:rPr>
                <w:rFonts w:ascii="Arial" w:hAnsi="Arial" w:cs="Arial"/>
                <w:i/>
                <w:lang w:val="en-US"/>
              </w:rPr>
            </w:pPr>
            <w:r w:rsidRPr="00D82C6E">
              <w:rPr>
                <w:rFonts w:ascii="Arial" w:hAnsi="Arial" w:cs="Arial"/>
                <w:i/>
                <w:lang w:val="en-US"/>
              </w:rPr>
              <w:t xml:space="preserve"> </w:t>
            </w:r>
          </w:p>
        </w:tc>
      </w:tr>
      <w:tr w:rsidR="00D82C6E" w:rsidRPr="00D82C6E" w:rsidTr="00803162">
        <w:trPr>
          <w:trHeight w:val="680"/>
        </w:trPr>
        <w:tc>
          <w:tcPr>
            <w:tcW w:w="2689" w:type="dxa"/>
          </w:tcPr>
          <w:p w:rsidR="00EA0716" w:rsidRPr="00803162" w:rsidRDefault="00EA0716" w:rsidP="00635996">
            <w:pPr>
              <w:rPr>
                <w:rStyle w:val="IntenseEmphasis"/>
                <w:rFonts w:ascii="Arial" w:hAnsi="Arial" w:cs="Arial"/>
                <w:i w:val="0"/>
                <w:color w:val="000000" w:themeColor="text1"/>
              </w:rPr>
            </w:pPr>
            <w:r w:rsidRPr="00803162">
              <w:rPr>
                <w:rStyle w:val="IntenseEmphasis"/>
                <w:rFonts w:ascii="Arial" w:hAnsi="Arial" w:cs="Arial"/>
                <w:i w:val="0"/>
                <w:color w:val="000000" w:themeColor="text1"/>
              </w:rPr>
              <w:t>Details of the actions agreed to manage the conflict in the best interests of the organisation</w:t>
            </w:r>
          </w:p>
        </w:tc>
        <w:tc>
          <w:tcPr>
            <w:tcW w:w="11259" w:type="dxa"/>
          </w:tcPr>
          <w:p w:rsidR="00EA0716" w:rsidRPr="00D82C6E" w:rsidRDefault="00A805DD" w:rsidP="00A805DD">
            <w:pPr>
              <w:rPr>
                <w:rFonts w:ascii="Arial" w:hAnsi="Arial" w:cs="Arial"/>
                <w:i/>
                <w:lang w:val="en-US"/>
              </w:rPr>
            </w:pPr>
            <w:r w:rsidRPr="00D82C6E">
              <w:rPr>
                <w:rFonts w:ascii="Arial" w:hAnsi="Arial" w:cs="Arial"/>
                <w:i/>
                <w:lang w:val="en-US"/>
              </w:rPr>
              <w:t xml:space="preserve">The chair </w:t>
            </w:r>
            <w:r w:rsidR="00D24416" w:rsidRPr="00D82C6E">
              <w:rPr>
                <w:rFonts w:ascii="Arial" w:hAnsi="Arial" w:cs="Arial"/>
                <w:i/>
                <w:lang w:val="en-US"/>
              </w:rPr>
              <w:t xml:space="preserve">to </w:t>
            </w:r>
            <w:r w:rsidRPr="00D82C6E">
              <w:rPr>
                <w:rFonts w:ascii="Arial" w:hAnsi="Arial" w:cs="Arial"/>
                <w:i/>
                <w:lang w:val="en-US"/>
              </w:rPr>
              <w:t xml:space="preserve">notify the board secretary to manage all board papers to do with the telecommunications contract in a way that the director does not have access. </w:t>
            </w:r>
          </w:p>
          <w:p w:rsidR="00E71711" w:rsidRPr="00D82C6E" w:rsidRDefault="00E71711" w:rsidP="00A805DD">
            <w:pPr>
              <w:rPr>
                <w:rFonts w:ascii="Arial" w:hAnsi="Arial" w:cs="Arial"/>
                <w:i/>
                <w:lang w:val="en-US"/>
              </w:rPr>
            </w:pPr>
            <w:r w:rsidRPr="00D82C6E">
              <w:rPr>
                <w:rFonts w:ascii="Arial" w:hAnsi="Arial" w:cs="Arial"/>
                <w:i/>
                <w:lang w:val="en-US"/>
              </w:rPr>
              <w:t xml:space="preserve">The director will recuse herself from any discussions and decisions about the tender process, including not discussing the substance of the matter with individual board members. </w:t>
            </w:r>
          </w:p>
          <w:p w:rsidR="00A805DD" w:rsidRPr="00D82C6E" w:rsidRDefault="00A805DD" w:rsidP="00A805DD">
            <w:pPr>
              <w:rPr>
                <w:rFonts w:ascii="Arial" w:hAnsi="Arial" w:cs="Arial"/>
                <w:i/>
                <w:lang w:val="en-US"/>
              </w:rPr>
            </w:pPr>
            <w:r w:rsidRPr="00D82C6E">
              <w:rPr>
                <w:rFonts w:ascii="Arial" w:hAnsi="Arial" w:cs="Arial"/>
                <w:i/>
                <w:lang w:val="en-US"/>
              </w:rPr>
              <w:t xml:space="preserve">The tenderers will be notified that </w:t>
            </w:r>
            <w:r w:rsidR="00D24416" w:rsidRPr="00D82C6E">
              <w:rPr>
                <w:rFonts w:ascii="Arial" w:hAnsi="Arial" w:cs="Arial"/>
                <w:i/>
                <w:lang w:val="en-US"/>
              </w:rPr>
              <w:t xml:space="preserve">this process is in place. </w:t>
            </w:r>
          </w:p>
        </w:tc>
      </w:tr>
      <w:tr w:rsidR="00D82C6E" w:rsidRPr="00D82C6E" w:rsidTr="00803162">
        <w:trPr>
          <w:trHeight w:val="680"/>
        </w:trPr>
        <w:tc>
          <w:tcPr>
            <w:tcW w:w="2689" w:type="dxa"/>
          </w:tcPr>
          <w:p w:rsidR="00EA0716" w:rsidRPr="00803162" w:rsidRDefault="00EA0716" w:rsidP="00635996">
            <w:pPr>
              <w:rPr>
                <w:rStyle w:val="IntenseEmphasis"/>
                <w:rFonts w:ascii="Arial" w:hAnsi="Arial" w:cs="Arial"/>
                <w:i w:val="0"/>
                <w:color w:val="000000" w:themeColor="text1"/>
              </w:rPr>
            </w:pPr>
            <w:r w:rsidRPr="00803162">
              <w:rPr>
                <w:rStyle w:val="IntenseEmphasis"/>
                <w:rFonts w:ascii="Arial" w:hAnsi="Arial" w:cs="Arial"/>
                <w:i w:val="0"/>
                <w:color w:val="000000" w:themeColor="text1"/>
              </w:rPr>
              <w:t>Date from which the conflict arose:</w:t>
            </w:r>
          </w:p>
        </w:tc>
        <w:tc>
          <w:tcPr>
            <w:tcW w:w="11259" w:type="dxa"/>
          </w:tcPr>
          <w:p w:rsidR="00EA0716" w:rsidRPr="00D82C6E" w:rsidRDefault="00D24416" w:rsidP="00D24416">
            <w:pPr>
              <w:rPr>
                <w:rFonts w:ascii="Arial" w:hAnsi="Arial" w:cs="Arial"/>
                <w:i/>
                <w:lang w:val="en-US"/>
              </w:rPr>
            </w:pPr>
            <w:r w:rsidRPr="00D82C6E">
              <w:rPr>
                <w:rFonts w:ascii="Arial" w:hAnsi="Arial" w:cs="Arial"/>
                <w:i/>
                <w:lang w:val="en-US"/>
              </w:rPr>
              <w:t>Once the director became aware of the names of the tenderers in late June 2023.</w:t>
            </w:r>
          </w:p>
        </w:tc>
      </w:tr>
      <w:tr w:rsidR="00D82C6E" w:rsidRPr="00D82C6E" w:rsidTr="00803162">
        <w:trPr>
          <w:trHeight w:val="680"/>
        </w:trPr>
        <w:tc>
          <w:tcPr>
            <w:tcW w:w="2689" w:type="dxa"/>
          </w:tcPr>
          <w:p w:rsidR="00EA0716" w:rsidRPr="00803162" w:rsidRDefault="00EA0716" w:rsidP="00635996">
            <w:pPr>
              <w:rPr>
                <w:rStyle w:val="IntenseEmphasis"/>
                <w:rFonts w:ascii="Arial" w:hAnsi="Arial" w:cs="Arial"/>
                <w:i w:val="0"/>
                <w:color w:val="000000" w:themeColor="text1"/>
              </w:rPr>
            </w:pPr>
            <w:r w:rsidRPr="00803162">
              <w:rPr>
                <w:rStyle w:val="IntenseEmphasis"/>
                <w:rFonts w:ascii="Arial" w:hAnsi="Arial" w:cs="Arial"/>
                <w:i w:val="0"/>
                <w:color w:val="000000" w:themeColor="text1"/>
              </w:rPr>
              <w:t xml:space="preserve">Date of last review*: </w:t>
            </w:r>
          </w:p>
        </w:tc>
        <w:tc>
          <w:tcPr>
            <w:tcW w:w="11259" w:type="dxa"/>
          </w:tcPr>
          <w:p w:rsidR="00EA0716" w:rsidRPr="00D82C6E" w:rsidRDefault="00D24416" w:rsidP="00635996">
            <w:pPr>
              <w:rPr>
                <w:rFonts w:ascii="Arial" w:hAnsi="Arial" w:cs="Arial"/>
                <w:i/>
                <w:lang w:val="en-US"/>
              </w:rPr>
            </w:pPr>
            <w:r w:rsidRPr="00D82C6E">
              <w:rPr>
                <w:rFonts w:ascii="Arial" w:hAnsi="Arial" w:cs="Arial"/>
                <w:i/>
                <w:lang w:val="en-US"/>
              </w:rPr>
              <w:t>1 July 2023</w:t>
            </w:r>
          </w:p>
        </w:tc>
      </w:tr>
      <w:tr w:rsidR="00D82C6E" w:rsidRPr="00D82C6E" w:rsidTr="00803162">
        <w:trPr>
          <w:trHeight w:val="680"/>
        </w:trPr>
        <w:tc>
          <w:tcPr>
            <w:tcW w:w="2689" w:type="dxa"/>
          </w:tcPr>
          <w:p w:rsidR="00EA0716" w:rsidRPr="00803162" w:rsidRDefault="00EA0716" w:rsidP="00635996">
            <w:pPr>
              <w:rPr>
                <w:rStyle w:val="IntenseEmphasis"/>
                <w:rFonts w:ascii="Arial" w:hAnsi="Arial" w:cs="Arial"/>
                <w:i w:val="0"/>
                <w:color w:val="000000" w:themeColor="text1"/>
              </w:rPr>
            </w:pPr>
            <w:r w:rsidRPr="00803162">
              <w:rPr>
                <w:rStyle w:val="IntenseEmphasis"/>
                <w:rFonts w:ascii="Arial" w:hAnsi="Arial" w:cs="Arial"/>
                <w:i w:val="0"/>
                <w:color w:val="000000" w:themeColor="text1"/>
              </w:rPr>
              <w:lastRenderedPageBreak/>
              <w:t>Annual report disclosure?</w:t>
            </w:r>
          </w:p>
        </w:tc>
        <w:tc>
          <w:tcPr>
            <w:tcW w:w="11259" w:type="dxa"/>
          </w:tcPr>
          <w:p w:rsidR="00EA0716" w:rsidRPr="00D82C6E" w:rsidRDefault="00EA0716" w:rsidP="00E30DFC">
            <w:pPr>
              <w:rPr>
                <w:rFonts w:ascii="Arial" w:hAnsi="Arial" w:cs="Arial"/>
                <w:i/>
                <w:lang w:val="en-US"/>
              </w:rPr>
            </w:pPr>
            <w:r w:rsidRPr="00D82C6E">
              <w:rPr>
                <w:rFonts w:ascii="Arial" w:hAnsi="Arial" w:cs="Arial"/>
                <w:b/>
                <w:i/>
                <w:lang w:val="en-US"/>
              </w:rPr>
              <w:t>NO</w:t>
            </w:r>
            <w:r w:rsidRPr="00D82C6E">
              <w:rPr>
                <w:rFonts w:ascii="Arial" w:hAnsi="Arial" w:cs="Arial"/>
                <w:i/>
                <w:lang w:val="en-US"/>
              </w:rPr>
              <w:t xml:space="preserve">                                               </w:t>
            </w:r>
          </w:p>
        </w:tc>
      </w:tr>
      <w:tr w:rsidR="00D82C6E" w:rsidRPr="00D82C6E" w:rsidTr="00803162">
        <w:trPr>
          <w:trHeight w:val="680"/>
        </w:trPr>
        <w:tc>
          <w:tcPr>
            <w:tcW w:w="2689" w:type="dxa"/>
          </w:tcPr>
          <w:p w:rsidR="00EA0716" w:rsidRPr="00803162" w:rsidRDefault="00EA0716" w:rsidP="00635996">
            <w:pPr>
              <w:rPr>
                <w:rStyle w:val="IntenseEmphasis"/>
                <w:rFonts w:ascii="Arial" w:hAnsi="Arial" w:cs="Arial"/>
                <w:i w:val="0"/>
                <w:color w:val="000000" w:themeColor="text1"/>
              </w:rPr>
            </w:pPr>
            <w:r w:rsidRPr="00803162">
              <w:rPr>
                <w:rStyle w:val="IntenseEmphasis"/>
                <w:rFonts w:ascii="Arial" w:hAnsi="Arial" w:cs="Arial"/>
                <w:i w:val="0"/>
                <w:color w:val="000000" w:themeColor="text1"/>
              </w:rPr>
              <w:t>If ‘no’, shareholder resolution?</w:t>
            </w:r>
          </w:p>
        </w:tc>
        <w:tc>
          <w:tcPr>
            <w:tcW w:w="11259" w:type="dxa"/>
          </w:tcPr>
          <w:p w:rsidR="00EA0716" w:rsidRPr="00D82C6E" w:rsidRDefault="00EA0716" w:rsidP="00E30DFC">
            <w:pPr>
              <w:rPr>
                <w:rFonts w:ascii="Arial" w:hAnsi="Arial" w:cs="Arial"/>
                <w:i/>
                <w:lang w:val="en-US"/>
              </w:rPr>
            </w:pPr>
            <w:r w:rsidRPr="00D82C6E">
              <w:rPr>
                <w:rFonts w:ascii="Arial" w:hAnsi="Arial" w:cs="Arial"/>
                <w:b/>
                <w:i/>
                <w:lang w:val="en-US"/>
              </w:rPr>
              <w:t xml:space="preserve">NO                                           </w:t>
            </w:r>
            <w:r w:rsidRPr="00D82C6E">
              <w:rPr>
                <w:rFonts w:ascii="Arial" w:hAnsi="Arial" w:cs="Arial"/>
                <w:i/>
                <w:lang w:val="en-US"/>
              </w:rPr>
              <w:t xml:space="preserve">   </w:t>
            </w:r>
          </w:p>
        </w:tc>
      </w:tr>
    </w:tbl>
    <w:p w:rsidR="00635996" w:rsidRPr="00D82C6E" w:rsidRDefault="00635996" w:rsidP="00635996">
      <w:pPr>
        <w:rPr>
          <w:rFonts w:ascii="Arial" w:hAnsi="Arial" w:cs="Arial"/>
          <w:lang w:val="en-US"/>
        </w:rPr>
      </w:pPr>
    </w:p>
    <w:p w:rsidR="00EA0716" w:rsidRPr="009272FF" w:rsidRDefault="00EA0716" w:rsidP="00635996">
      <w:pPr>
        <w:rPr>
          <w:rFonts w:ascii="Arial" w:hAnsi="Arial" w:cs="Arial"/>
          <w:lang w:val="en-US"/>
        </w:rPr>
      </w:pPr>
      <w:r w:rsidRPr="009272FF">
        <w:rPr>
          <w:rFonts w:ascii="Arial" w:hAnsi="Arial" w:cs="Arial"/>
          <w:lang w:val="en-US"/>
        </w:rPr>
        <w:t xml:space="preserve">*Actions should be reviewed at least annually and updated as necessary to ensure they remain relevant and effective. </w:t>
      </w:r>
    </w:p>
    <w:sectPr w:rsidR="00EA0716" w:rsidRPr="009272FF" w:rsidSect="00F860FF">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461" w:rsidRDefault="00915461" w:rsidP="009B5D0A">
      <w:pPr>
        <w:spacing w:after="0" w:line="240" w:lineRule="auto"/>
      </w:pPr>
      <w:r>
        <w:separator/>
      </w:r>
    </w:p>
  </w:endnote>
  <w:endnote w:type="continuationSeparator" w:id="0">
    <w:p w:rsidR="00915461" w:rsidRDefault="00915461" w:rsidP="009B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C6E" w:rsidRPr="00CC55E5" w:rsidRDefault="00D82C6E" w:rsidP="00D82C6E">
    <w:pPr>
      <w:pStyle w:val="Footer"/>
      <w:rPr>
        <w:rFonts w:ascii="Arial" w:hAnsi="Arial" w:cs="Arial"/>
        <w:sz w:val="20"/>
        <w:szCs w:val="20"/>
      </w:rPr>
    </w:pPr>
    <w:r w:rsidRPr="00CC55E5">
      <w:rPr>
        <w:rFonts w:ascii="Arial" w:hAnsi="Arial" w:cs="Arial"/>
        <w:sz w:val="20"/>
        <w:szCs w:val="20"/>
      </w:rPr>
      <w:t xml:space="preserve">This template was created by the Institute of Directors New Zealand. </w:t>
    </w:r>
    <w:r>
      <w:rPr>
        <w:rFonts w:ascii="Arial" w:hAnsi="Arial" w:cs="Arial"/>
        <w:sz w:val="20"/>
        <w:szCs w:val="20"/>
      </w:rPr>
      <w:t xml:space="preserve">For any queries please </w:t>
    </w:r>
    <w:r w:rsidRPr="00CC55E5">
      <w:rPr>
        <w:rFonts w:ascii="Arial" w:hAnsi="Arial" w:cs="Arial"/>
        <w:sz w:val="20"/>
        <w:szCs w:val="20"/>
      </w:rPr>
      <w:t xml:space="preserve">contact us at </w:t>
    </w:r>
    <w:hyperlink r:id="rId1" w:history="1">
      <w:r w:rsidRPr="00CC55E5">
        <w:rPr>
          <w:rStyle w:val="Hyperlink"/>
          <w:rFonts w:ascii="Arial" w:hAnsi="Arial" w:cs="Arial"/>
          <w:color w:val="auto"/>
          <w:sz w:val="20"/>
          <w:szCs w:val="20"/>
        </w:rPr>
        <w:t>glc@iod.org.nz</w:t>
      </w:r>
    </w:hyperlink>
    <w:r w:rsidRPr="00CC55E5">
      <w:rPr>
        <w:rFonts w:ascii="Arial" w:hAnsi="Arial" w:cs="Arial"/>
        <w:sz w:val="20"/>
        <w:szCs w:val="20"/>
      </w:rPr>
      <w:t xml:space="preserve"> or 0800 46 369</w:t>
    </w:r>
  </w:p>
  <w:p w:rsidR="00D82C6E" w:rsidRDefault="00D82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461" w:rsidRDefault="00915461" w:rsidP="009B5D0A">
      <w:pPr>
        <w:spacing w:after="0" w:line="240" w:lineRule="auto"/>
      </w:pPr>
      <w:r>
        <w:separator/>
      </w:r>
    </w:p>
  </w:footnote>
  <w:footnote w:type="continuationSeparator" w:id="0">
    <w:p w:rsidR="00915461" w:rsidRDefault="00915461" w:rsidP="009B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D0A" w:rsidRDefault="009B5D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83"/>
    <w:rsid w:val="0003587C"/>
    <w:rsid w:val="00266AEC"/>
    <w:rsid w:val="00285506"/>
    <w:rsid w:val="002D56DB"/>
    <w:rsid w:val="00371A15"/>
    <w:rsid w:val="00571B83"/>
    <w:rsid w:val="005836D9"/>
    <w:rsid w:val="00635996"/>
    <w:rsid w:val="00720A49"/>
    <w:rsid w:val="007322FE"/>
    <w:rsid w:val="007A3A1B"/>
    <w:rsid w:val="00803162"/>
    <w:rsid w:val="008E17D3"/>
    <w:rsid w:val="00915461"/>
    <w:rsid w:val="009272FF"/>
    <w:rsid w:val="009B5D0A"/>
    <w:rsid w:val="00A805DD"/>
    <w:rsid w:val="00B472B4"/>
    <w:rsid w:val="00CC68BC"/>
    <w:rsid w:val="00D24416"/>
    <w:rsid w:val="00D65FEA"/>
    <w:rsid w:val="00D82C6E"/>
    <w:rsid w:val="00E10198"/>
    <w:rsid w:val="00E22A09"/>
    <w:rsid w:val="00E30DFC"/>
    <w:rsid w:val="00E71711"/>
    <w:rsid w:val="00EA0716"/>
    <w:rsid w:val="00F860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38B4AE-0E68-4392-8CEA-7738A038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6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60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0F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860F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F8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D24416"/>
    <w:rPr>
      <w:i/>
      <w:iCs/>
      <w:color w:val="5B9BD5" w:themeColor="accent1"/>
    </w:rPr>
  </w:style>
  <w:style w:type="paragraph" w:styleId="Header">
    <w:name w:val="header"/>
    <w:basedOn w:val="Normal"/>
    <w:link w:val="HeaderChar"/>
    <w:uiPriority w:val="99"/>
    <w:unhideWhenUsed/>
    <w:rsid w:val="009B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D0A"/>
  </w:style>
  <w:style w:type="paragraph" w:styleId="Footer">
    <w:name w:val="footer"/>
    <w:basedOn w:val="Normal"/>
    <w:link w:val="FooterChar"/>
    <w:uiPriority w:val="99"/>
    <w:unhideWhenUsed/>
    <w:rsid w:val="009B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D0A"/>
  </w:style>
  <w:style w:type="character" w:styleId="Hyperlink">
    <w:name w:val="Hyperlink"/>
    <w:basedOn w:val="DefaultParagraphFont"/>
    <w:uiPriority w:val="99"/>
    <w:unhideWhenUsed/>
    <w:rsid w:val="00D82C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lc@iod.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Cuthbert</dc:creator>
  <cp:keywords/>
  <dc:description/>
  <cp:lastModifiedBy>Sam Gray</cp:lastModifiedBy>
  <cp:revision>2</cp:revision>
  <dcterms:created xsi:type="dcterms:W3CDTF">2023-07-26T01:03:00Z</dcterms:created>
  <dcterms:modified xsi:type="dcterms:W3CDTF">2023-07-26T01:03:00Z</dcterms:modified>
</cp:coreProperties>
</file>